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1E" w:rsidRDefault="00D25C63" w:rsidP="00D25C63">
      <w:pPr>
        <w:spacing w:after="0"/>
        <w:jc w:val="right"/>
        <w:rPr>
          <w:b/>
        </w:rPr>
      </w:pPr>
      <w:r>
        <w:rPr>
          <w:noProof/>
          <w:color w:val="000000"/>
        </w:rPr>
        <w:drawing>
          <wp:inline distT="0" distB="0" distL="0" distR="0" wp14:anchorId="25BEFEED" wp14:editId="2B4694BA">
            <wp:extent cx="1218357" cy="5045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357" cy="50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C63" w:rsidRDefault="00D25C63">
      <w:pPr>
        <w:spacing w:after="0"/>
        <w:rPr>
          <w:b/>
          <w:sz w:val="28"/>
          <w:szCs w:val="28"/>
        </w:rPr>
      </w:pPr>
    </w:p>
    <w:p w:rsidR="00113B1E" w:rsidRDefault="00AD18B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Human Ark na 15. rocznicę powstania przechodzi rebranding i poszerza działalność </w:t>
      </w:r>
    </w:p>
    <w:p w:rsidR="00113B1E" w:rsidRDefault="00113B1E">
      <w:pPr>
        <w:spacing w:after="0"/>
        <w:jc w:val="both"/>
      </w:pPr>
    </w:p>
    <w:p w:rsidR="00113B1E" w:rsidRDefault="00AD18B4">
      <w:pPr>
        <w:spacing w:after="0"/>
        <w:jc w:val="both"/>
        <w:rPr>
          <w:b/>
          <w:strike/>
        </w:rPr>
      </w:pPr>
      <w:r>
        <w:rPr>
          <w:b/>
        </w:rPr>
        <w:t>Warszawskie studio produkcyjne Human Ark właśnie obchodzi swoje 15-lecie. Human – bo taką nazwę nosi od dziś firma – zmienia swoją identyfikację wizualną, ale także strategię biznesową. W centrum działań studio stawia człowieka, a także rozwija zainicjowan</w:t>
      </w:r>
      <w:r>
        <w:rPr>
          <w:b/>
        </w:rPr>
        <w:t>ą już współpracę z nowym rodzajem klientów. Dziś Human oprócz branży reklamowej i animacji realizuje także długie formy i projekty fabularne w zakresie VFX i postprodukcji. Do pracy nad filmami firma utworzyła w swojej warszawskiej lokalizacji specjalnie w</w:t>
      </w:r>
      <w:r>
        <w:rPr>
          <w:b/>
        </w:rPr>
        <w:t>yposażoną przestrzeń umożliwiającą kompleksową obsługę postprodukcyjną.</w:t>
      </w:r>
    </w:p>
    <w:p w:rsidR="00113B1E" w:rsidRDefault="00113B1E">
      <w:pPr>
        <w:spacing w:after="0"/>
        <w:jc w:val="both"/>
      </w:pPr>
    </w:p>
    <w:p w:rsidR="00113B1E" w:rsidRDefault="00AD18B4">
      <w:pPr>
        <w:spacing w:after="0"/>
        <w:jc w:val="both"/>
        <w:rPr>
          <w:color w:val="000000"/>
        </w:rPr>
      </w:pPr>
      <w:r>
        <w:rPr>
          <w:color w:val="000000"/>
        </w:rPr>
        <w:t>Human to studio animacji i postprodukcji, działające na polskim i międzynarodowym rynku produkcyjnym od 15 lat</w:t>
      </w:r>
      <w:r>
        <w:t xml:space="preserve">.  </w:t>
      </w:r>
      <w:r>
        <w:rPr>
          <w:color w:val="000000"/>
        </w:rPr>
        <w:t>Zespół składający się z ponad 50, animatorów, grafików, programistów i</w:t>
      </w:r>
      <w:r>
        <w:rPr>
          <w:color w:val="000000"/>
        </w:rPr>
        <w:t xml:space="preserve"> producentów tworzy cyfrowe efekty specjalne oraz animacje 2D i 3D dla świata filmu, reklamy i sztuk</w:t>
      </w:r>
      <w:r>
        <w:t>i.</w:t>
      </w:r>
      <w:r>
        <w:rPr>
          <w:color w:val="000000"/>
        </w:rPr>
        <w:t xml:space="preserve"> </w:t>
      </w:r>
      <w:r>
        <w:t>W</w:t>
      </w:r>
      <w:r>
        <w:rPr>
          <w:color w:val="000000"/>
        </w:rPr>
        <w:t xml:space="preserve"> zakres usług studia wchodzi także kompleksowa obsługa postprodukcyjna. W ostatnich latach firma realizowała projekty reklamowe zarówno dla klientów z E</w:t>
      </w:r>
      <w:r>
        <w:rPr>
          <w:color w:val="000000"/>
        </w:rPr>
        <w:t xml:space="preserve">uropy, jak i z Azji. Wśród dużych projektów, dla których Human </w:t>
      </w:r>
      <w:r>
        <w:t xml:space="preserve">tworzy </w:t>
      </w:r>
      <w:r>
        <w:rPr>
          <w:color w:val="000000"/>
        </w:rPr>
        <w:t>efekty specjalne, znalazł się m.in. „Broad Peak” – dramat oparty na prawdziwej historii legendarnego polskiego himalaisty, Macieja Berbeki, czy serial „Wielka Woda” produkowany przez Tel</w:t>
      </w:r>
      <w:r>
        <w:rPr>
          <w:color w:val="000000"/>
        </w:rPr>
        <w:t>emark dla Netflix.</w:t>
      </w:r>
    </w:p>
    <w:p w:rsidR="00113B1E" w:rsidRDefault="00113B1E">
      <w:pPr>
        <w:spacing w:after="0"/>
        <w:jc w:val="both"/>
      </w:pPr>
    </w:p>
    <w:p w:rsidR="00113B1E" w:rsidRDefault="00AD18B4">
      <w:pPr>
        <w:spacing w:after="0"/>
        <w:jc w:val="both"/>
        <w:rPr>
          <w:i/>
          <w:highlight w:val="green"/>
        </w:rPr>
      </w:pPr>
      <w:r w:rsidRPr="00D25C63">
        <w:rPr>
          <w:i/>
          <w:lang w:val="en-US"/>
        </w:rPr>
        <w:t xml:space="preserve">Human Ark to od teraz Human. </w:t>
      </w:r>
      <w:r>
        <w:rPr>
          <w:i/>
        </w:rPr>
        <w:t>Uprościliśmy nazwę, bo Human jest kwintesencją tej firmy. To jedno słowo najlepiej oddaje naszą strategię. W codziennych działaniach stawiamy na człowieka – bo firmę tworzą ludzie. Strategicznie z kolei – ch</w:t>
      </w:r>
      <w:r>
        <w:rPr>
          <w:i/>
        </w:rPr>
        <w:t>cemy dać wyraźny sygnał o szerszym zakresie usług. Nie jesteśmy tylko studiem animacji, które robi wysokiej jakości reklamy. W ofercie Human jest całe spektrum usług postprodukcyjnych i VFX umożliwiających pracę nad wszelkimi formami filmowymi, począwszy o</w:t>
      </w:r>
      <w:r>
        <w:rPr>
          <w:i/>
        </w:rPr>
        <w:t xml:space="preserve">d reklam, przez teledyski i kampanie, po seriale i filmy fabularne – </w:t>
      </w:r>
      <w:r>
        <w:t xml:space="preserve">mówi </w:t>
      </w:r>
      <w:r>
        <w:rPr>
          <w:b/>
        </w:rPr>
        <w:t>Maks Sikora, CEO studia produkcyjnego Human.</w:t>
      </w:r>
    </w:p>
    <w:p w:rsidR="00113B1E" w:rsidRDefault="00113B1E">
      <w:pPr>
        <w:tabs>
          <w:tab w:val="left" w:pos="1920"/>
        </w:tabs>
        <w:spacing w:after="0"/>
        <w:jc w:val="both"/>
        <w:rPr>
          <w:b/>
        </w:rPr>
      </w:pPr>
    </w:p>
    <w:p w:rsidR="00113B1E" w:rsidRDefault="00AD18B4">
      <w:pPr>
        <w:spacing w:after="0"/>
        <w:jc w:val="both"/>
        <w:rPr>
          <w:strike/>
        </w:rPr>
      </w:pPr>
      <w:r>
        <w:rPr>
          <w:color w:val="000000"/>
        </w:rPr>
        <w:t xml:space="preserve">To, co wyróżnia Human, to wysoka jakość animacji postaci, umiejętność tworzenia złożonych efektów wizualnych i duża wartość artystyczna </w:t>
      </w:r>
      <w:r>
        <w:rPr>
          <w:color w:val="000000"/>
        </w:rPr>
        <w:t xml:space="preserve">realizowanych produkcji. </w:t>
      </w:r>
      <w:r>
        <w:t>To jednak nie wszystko – siedziba Human rozrosła się o kolejne piętro. Nowa przestrzeń jest wyposażona w stanowiska do montażu offline, online i kolor-korekcji oraz w salę kinową. Ponadto Human wszedł w 2018 roku w partnerstwo z cz</w:t>
      </w:r>
      <w:r>
        <w:t>eskim producentem PFX. To doświadczone, 120-osobowe studio, mające siedzibę m.in. w kultowym Barrandovie. Przy projektach reklamowych i fabularnych studia wspierają się wzajemnie. PFX jest także koproducentem filmu „Diplodok”.</w:t>
      </w:r>
    </w:p>
    <w:p w:rsidR="00113B1E" w:rsidRDefault="00113B1E">
      <w:pPr>
        <w:spacing w:after="0"/>
        <w:jc w:val="both"/>
        <w:rPr>
          <w:i/>
        </w:rPr>
      </w:pPr>
    </w:p>
    <w:p w:rsidR="00113B1E" w:rsidRDefault="00AD18B4">
      <w:pPr>
        <w:spacing w:after="0"/>
        <w:jc w:val="both"/>
        <w:rPr>
          <w:b/>
        </w:rPr>
      </w:pPr>
      <w:r>
        <w:rPr>
          <w:i/>
        </w:rPr>
        <w:t>Produkujemy właśnie pierwszy</w:t>
      </w:r>
      <w:r>
        <w:rPr>
          <w:i/>
        </w:rPr>
        <w:t xml:space="preserve"> na taką skalę w Polsce film animowany 3D dla widowni familijnej. Dzięki udziałowi w zagranicznych targach, festiwalach oraz konferencjach zrozumieliśmy, że „Diplodok” to film o ogromnym potencjale międzynarodowym. Spotkaliśmy wiele osób z branży, które na</w:t>
      </w:r>
      <w:r>
        <w:rPr>
          <w:i/>
        </w:rPr>
        <w:t xml:space="preserve">m pomogły i wspierały nas w okresie przygotowawczym. Na Cartoon Movie znaleźliśmy partnera do filmu – PFX z czeskiej Pragi. Jako organizacja znajdujemy się w momencie, w którym takie </w:t>
      </w:r>
      <w:r>
        <w:rPr>
          <w:i/>
        </w:rPr>
        <w:lastRenderedPageBreak/>
        <w:t>współprace są elementem planów rozwoju i nowej strategii studia. Na rynku</w:t>
      </w:r>
      <w:r>
        <w:rPr>
          <w:i/>
        </w:rPr>
        <w:t xml:space="preserve"> jesteśmy już 15 lat, to dla nas bardzo ważny moment. Poza tym oczywiście niezmiennie skupiamy się na wysokiej klasy reklamach i zaawansowanych efektach wizualnych w filmach i serialach telewizyjnych. Stale szukamy nowych kreatywnych pomysłów. Jesteśmy na </w:t>
      </w:r>
      <w:r>
        <w:rPr>
          <w:i/>
        </w:rPr>
        <w:t>zaawansowanym etapie prac nad „Diplodokiem”, ale wiedząc, ile czasu zajmuje rozwój własnej produkcji, przymierzamy się już do nowych tytułów. Ponadto, wypatrujemy nowych kooperacji w obszarze filmu - zarówno serwisu, jak i koprodukcji. Niezależnie od tego,</w:t>
      </w:r>
      <w:r>
        <w:rPr>
          <w:i/>
        </w:rPr>
        <w:t xml:space="preserve"> czy projekt jest komercyjny czy fabularny, w każdej formie widzimy film – to podejście określa sposób myślenia i działania w Humanie –</w:t>
      </w:r>
      <w:r>
        <w:t xml:space="preserve"> dodaje </w:t>
      </w:r>
      <w:r>
        <w:rPr>
          <w:b/>
        </w:rPr>
        <w:t>Wojtek Wawszczyk, reżyser „Diplodoka” oraz dyrektor artystyczny studia.</w:t>
      </w:r>
    </w:p>
    <w:p w:rsidR="00113B1E" w:rsidRDefault="00113B1E">
      <w:pPr>
        <w:spacing w:after="0"/>
      </w:pP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***</w:t>
      </w: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595959"/>
          <w:sz w:val="18"/>
          <w:szCs w:val="18"/>
        </w:rPr>
      </w:pP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trike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Human to studio animacji i postprodukcji, działające na polskim i międzynarodowym rynku produkcyjnym od 15 lat. Zespół doświadczonych reżyserów, animatorów i producentów tworzy cyfrowe efekty specjalne oraz animacje 2D i 3D dla świata filmu, reklamy, sztuk</w:t>
      </w:r>
      <w:r>
        <w:rPr>
          <w:b/>
          <w:color w:val="595959"/>
          <w:sz w:val="18"/>
          <w:szCs w:val="18"/>
        </w:rPr>
        <w:t>i i rozrywki. Zakres usług studia obejmuje także kompleksową obsługę postprodukcyjną. To, co wyróżnia Human, to wysoka jakość animacji postaci, umiejętność tworzenia złożonych efektów wizualnych i duża wartość artystyczna realizowanych produkcji.</w:t>
      </w: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595959"/>
          <w:sz w:val="18"/>
          <w:szCs w:val="18"/>
        </w:rPr>
      </w:pP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www.human.film</w:t>
      </w: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595959"/>
          <w:sz w:val="18"/>
          <w:szCs w:val="18"/>
        </w:rPr>
      </w:pP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595959"/>
          <w:sz w:val="18"/>
          <w:szCs w:val="18"/>
        </w:rPr>
      </w:pP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Kontakt dla mediów:</w:t>
      </w: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Aleksandra Witkowska, PR Manager</w:t>
      </w: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595959"/>
          <w:sz w:val="18"/>
          <w:szCs w:val="18"/>
        </w:rPr>
      </w:pPr>
      <w:hyperlink r:id="rId9">
        <w:r>
          <w:rPr>
            <w:color w:val="5959FE"/>
            <w:sz w:val="18"/>
            <w:szCs w:val="18"/>
            <w:u w:val="single"/>
          </w:rPr>
          <w:t>aleksandra@publicrepublic.pl</w:t>
        </w:r>
      </w:hyperlink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+48 693 407 831</w:t>
      </w: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595959"/>
          <w:sz w:val="18"/>
          <w:szCs w:val="18"/>
        </w:rPr>
      </w:pPr>
    </w:p>
    <w:p w:rsidR="00113B1E" w:rsidRDefault="00113B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  <w:sz w:val="18"/>
          <w:szCs w:val="18"/>
        </w:rPr>
      </w:pPr>
    </w:p>
    <w:p w:rsidR="00113B1E" w:rsidRDefault="00AD18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595959"/>
          <w:sz w:val="18"/>
          <w:szCs w:val="18"/>
        </w:rPr>
      </w:pPr>
      <w:r>
        <w:rPr>
          <w:noProof/>
          <w:color w:val="595959"/>
          <w:sz w:val="18"/>
          <w:szCs w:val="18"/>
        </w:rPr>
        <w:drawing>
          <wp:inline distT="0" distB="0" distL="0" distR="0">
            <wp:extent cx="5760720" cy="97980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13B1E" w:rsidSect="00D25C63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B4" w:rsidRDefault="00AD18B4">
      <w:pPr>
        <w:spacing w:after="0" w:line="240" w:lineRule="auto"/>
      </w:pPr>
      <w:r>
        <w:separator/>
      </w:r>
    </w:p>
  </w:endnote>
  <w:endnote w:type="continuationSeparator" w:id="0">
    <w:p w:rsidR="00AD18B4" w:rsidRDefault="00AD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1E" w:rsidRDefault="00AD18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  <w:r>
      <w:rPr>
        <w:i/>
        <w:color w:val="00000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B4" w:rsidRDefault="00AD18B4">
      <w:pPr>
        <w:spacing w:after="0" w:line="240" w:lineRule="auto"/>
      </w:pPr>
      <w:r>
        <w:separator/>
      </w:r>
    </w:p>
  </w:footnote>
  <w:footnote w:type="continuationSeparator" w:id="0">
    <w:p w:rsidR="00AD18B4" w:rsidRDefault="00AD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1E" w:rsidRDefault="00113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B1E"/>
    <w:rsid w:val="00113B1E"/>
    <w:rsid w:val="00AD18B4"/>
    <w:rsid w:val="00D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7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36"/>
  </w:style>
  <w:style w:type="paragraph" w:styleId="Stopka">
    <w:name w:val="footer"/>
    <w:basedOn w:val="Normalny"/>
    <w:link w:val="StopkaZnak"/>
    <w:uiPriority w:val="99"/>
    <w:unhideWhenUsed/>
    <w:rsid w:val="00237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6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2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37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36"/>
  </w:style>
  <w:style w:type="paragraph" w:styleId="Stopka">
    <w:name w:val="footer"/>
    <w:basedOn w:val="Normalny"/>
    <w:link w:val="StopkaZnak"/>
    <w:uiPriority w:val="99"/>
    <w:unhideWhenUsed/>
    <w:rsid w:val="00237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6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2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leksandra@publicrepubli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LzoFqzG0QX24KAeRhriT8v+UA==">AMUW2mWAW5G8LgKvFaXnU4mh6ocV3Ew/82F2Sxh559OdwfXKJntyA/P3rwUOt8N0JxjNmuia6cejk5n010yWZKBfR2VyuHO+BWQO7XXtzM/rsFF8vCbUBR6nU9RGXdpbHVHE8PmA+dsOM7xsKSqDnl5Zd0C1XVUiNBG31CExtKg47C6Iul2DFItUsmh+JiVpb0JfpwvtYdJhoS16K+rg1eW6tQjWtaViUs1tq0C3oxBS28WUsDBiTSCNSLwnv4fGJh9Od4k0II73ECrH8Yv1BCaqwGuMMZMTzgV7Wpj3O+aVTfhXMTmeJ3wEVYnJSZRj8uJF4I3oquRAmd2gH9NyCrPzUXsTlBK+yQBNTZeIthlzmY5KPQpsO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2022-04-21T14:58:00Z</dcterms:created>
  <dcterms:modified xsi:type="dcterms:W3CDTF">2022-05-18T20:22:00Z</dcterms:modified>
</cp:coreProperties>
</file>